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2D497" w14:textId="4E223CC9" w:rsidR="00F43C89" w:rsidRDefault="00000000">
      <w:pPr>
        <w:pStyle w:val="Title"/>
        <w:jc w:val="center"/>
      </w:pPr>
      <w:r>
        <w:t>Charles Bowman, MS, LCSW</w:t>
      </w:r>
    </w:p>
    <w:p w14:paraId="38C25ACE" w14:textId="77777777" w:rsidR="00F43C89" w:rsidRDefault="00000000">
      <w:pPr>
        <w:jc w:val="center"/>
      </w:pPr>
      <w:r>
        <w:t>Bowman Counseling and Consulting, Inc.</w:t>
      </w:r>
      <w:r>
        <w:br/>
        <w:t>9292 North Meridian Street, Suite 311</w:t>
      </w:r>
      <w:r>
        <w:br/>
        <w:t>Indianapolis, IN, USA 46260</w:t>
      </w:r>
      <w:r>
        <w:br/>
        <w:t>📞 317-670-9202 | 📠 317-219-7327</w:t>
      </w:r>
      <w:r>
        <w:br/>
        <w:t>✉️ charlie@bowmancounseling.com</w:t>
      </w:r>
    </w:p>
    <w:p w14:paraId="13226DCA" w14:textId="77777777" w:rsidR="00F43C89" w:rsidRDefault="00000000">
      <w:pPr>
        <w:pStyle w:val="Heading1"/>
      </w:pPr>
      <w:r>
        <w:t>Licensure</w:t>
      </w:r>
    </w:p>
    <w:p w14:paraId="2ADA8B31" w14:textId="3FB5675A" w:rsidR="00F43C89" w:rsidRDefault="00000000">
      <w:r>
        <w:t>- Licensed Clinical Social Worker, Indiana (#34002755A)</w:t>
      </w:r>
    </w:p>
    <w:p w14:paraId="1D1AA21B" w14:textId="77777777" w:rsidR="00F43C89" w:rsidRDefault="00000000">
      <w:pPr>
        <w:pStyle w:val="Heading1"/>
      </w:pPr>
      <w:r>
        <w:t>Education</w:t>
      </w:r>
    </w:p>
    <w:p w14:paraId="21C9AE57" w14:textId="77777777" w:rsidR="00F43C89" w:rsidRDefault="00000000">
      <w:r>
        <w:t>Purdue University, Indianapolis, IN</w:t>
      </w:r>
      <w:r>
        <w:br/>
        <w:t xml:space="preserve">  Master of Science in Psychology, 1984–1987</w:t>
      </w:r>
      <w:r>
        <w:br/>
        <w:t xml:space="preserve">  Bachelor of Science in Psychology, 1978–1983</w:t>
      </w:r>
      <w:r>
        <w:br/>
        <w:t>Indianapolis Gestalt Institute</w:t>
      </w:r>
      <w:r>
        <w:br/>
        <w:t xml:space="preserve">  3-Year Gestalt Therapy Training, 1984–1987</w:t>
      </w:r>
      <w:r>
        <w:br/>
        <w:t>Institute for Integrative Psychotherapy, NY</w:t>
      </w:r>
      <w:r>
        <w:br/>
        <w:t xml:space="preserve">  400-Hour Training, 1992–1998</w:t>
      </w:r>
      <w:r>
        <w:br/>
        <w:t>Midwest Center for Psychodrama &amp; Sociometry</w:t>
      </w:r>
      <w:r>
        <w:br/>
        <w:t xml:space="preserve">  150-Hour Training, 1985–1986</w:t>
      </w:r>
    </w:p>
    <w:p w14:paraId="52F3C59B" w14:textId="77777777" w:rsidR="00F43C89" w:rsidRDefault="00000000">
      <w:pPr>
        <w:pStyle w:val="Heading1"/>
      </w:pPr>
      <w:r>
        <w:t>Publications</w:t>
      </w:r>
    </w:p>
    <w:p w14:paraId="6CF0B7A8" w14:textId="77777777" w:rsidR="00F43C89" w:rsidRDefault="00000000">
      <w:pPr>
        <w:pStyle w:val="Heading2"/>
      </w:pPr>
      <w:r>
        <w:t>Books and Book Chapters</w:t>
      </w:r>
    </w:p>
    <w:p w14:paraId="69C28B89" w14:textId="4A64E9F0" w:rsidR="00F43C89" w:rsidRDefault="00000000">
      <w:pPr>
        <w:pStyle w:val="ListBullet"/>
      </w:pPr>
      <w:r>
        <w:t xml:space="preserve">Bowman, C.A., &amp; Bowman, C. E. (2022). A classical beginning and a relational turn: A gestalt therapy case study. In P. Cole (Ed.), </w:t>
      </w:r>
      <w:r w:rsidRPr="006F5938">
        <w:rPr>
          <w:i/>
          <w:iCs/>
        </w:rPr>
        <w:t>The Relational Heart of Gestalt Therapy: Contemporary Perspectives</w:t>
      </w:r>
      <w:r>
        <w:t>.</w:t>
      </w:r>
    </w:p>
    <w:p w14:paraId="676FE900" w14:textId="4FEDF380" w:rsidR="00F43C89" w:rsidRDefault="00000000">
      <w:pPr>
        <w:pStyle w:val="ListBullet"/>
      </w:pPr>
      <w:r>
        <w:t xml:space="preserve">Perls, F. (2019). </w:t>
      </w:r>
      <w:r w:rsidRPr="006F5938">
        <w:rPr>
          <w:i/>
          <w:iCs/>
        </w:rPr>
        <w:t>Psychopathology of Awareness: An Unfinished and Unpublished Manuscript</w:t>
      </w:r>
      <w:r>
        <w:t xml:space="preserve"> (J.-M. Robine &amp; C. Bowman, Eds.). l’Exprimerie.</w:t>
      </w:r>
    </w:p>
    <w:p w14:paraId="4B4A83DC" w14:textId="74F90DD0" w:rsidR="00F43C89" w:rsidRDefault="00000000">
      <w:pPr>
        <w:pStyle w:val="ListBullet"/>
      </w:pPr>
      <w:r>
        <w:t xml:space="preserve">Yontef, G., Jacobs, L., &amp; Bowman, C. (2018). Gestalt therapy. In D. Wedding &amp; R. Corsini (Eds.), </w:t>
      </w:r>
      <w:r w:rsidRPr="006F5938">
        <w:rPr>
          <w:i/>
          <w:iCs/>
        </w:rPr>
        <w:t>Current Psychotherapies</w:t>
      </w:r>
      <w:r>
        <w:t xml:space="preserve"> (11th ed.). Brooks/Cole.</w:t>
      </w:r>
    </w:p>
    <w:p w14:paraId="04B1671E" w14:textId="71E44323" w:rsidR="00F43C89" w:rsidRDefault="00000000">
      <w:pPr>
        <w:pStyle w:val="ListBullet"/>
      </w:pPr>
      <w:r>
        <w:t xml:space="preserve">Bowman, C. (2015). Gestalt therapy in the world of contemporary media. In B. Mistler &amp; P. Brownell (Eds.), </w:t>
      </w:r>
      <w:r w:rsidRPr="006F5938">
        <w:rPr>
          <w:i/>
          <w:iCs/>
        </w:rPr>
        <w:t>Global Perspectives on Research, Theory, and Practice</w:t>
      </w:r>
      <w:r>
        <w:t>. Cambridge Scholars Press.</w:t>
      </w:r>
    </w:p>
    <w:p w14:paraId="24CD955C" w14:textId="12C8A029" w:rsidR="00F43C89" w:rsidRDefault="00000000">
      <w:pPr>
        <w:pStyle w:val="ListBullet"/>
      </w:pPr>
      <w:r>
        <w:t xml:space="preserve">Bowman, C., &amp; Brownell, P. (2015). Prelude to contemporary gestalt therapy. In B. Mistler &amp; P. Brownell (Eds.), </w:t>
      </w:r>
      <w:r w:rsidRPr="006F5938">
        <w:rPr>
          <w:i/>
          <w:iCs/>
        </w:rPr>
        <w:t>Global Perspectives on Research, Theory, and Practice</w:t>
      </w:r>
      <w:r>
        <w:t>. Cambridge Scholars Press.</w:t>
      </w:r>
    </w:p>
    <w:p w14:paraId="7DE7AB62" w14:textId="7CB72E83" w:rsidR="00F43C89" w:rsidRDefault="00000000">
      <w:pPr>
        <w:pStyle w:val="ListBullet"/>
      </w:pPr>
      <w:r>
        <w:lastRenderedPageBreak/>
        <w:t xml:space="preserve">Bowman, C., &amp; Brownell, P. (2015). To ground zero and back. In B. Mistler &amp; P. Brownell (Eds.), </w:t>
      </w:r>
      <w:r w:rsidRPr="006F5938">
        <w:rPr>
          <w:i/>
          <w:iCs/>
        </w:rPr>
        <w:t>Global Perspectives on Research, Theory, and Practice</w:t>
      </w:r>
      <w:r>
        <w:t>. Cambridge Scholars Press.</w:t>
      </w:r>
    </w:p>
    <w:p w14:paraId="3BA6BAF3" w14:textId="17682E11" w:rsidR="00F43C89" w:rsidRDefault="00000000">
      <w:pPr>
        <w:pStyle w:val="ListBullet"/>
      </w:pPr>
      <w:r>
        <w:t>Bowman, C., &amp; Cole, P. (in press). I am here: A Gestalt perspective on navigating through troubled times</w:t>
      </w:r>
      <w:r w:rsidR="006F5938">
        <w:t xml:space="preserve">. </w:t>
      </w:r>
      <w:r w:rsidRPr="006F5938">
        <w:rPr>
          <w:i/>
          <w:iCs/>
        </w:rPr>
        <w:t>Gestalt Review</w:t>
      </w:r>
      <w:r>
        <w:t>.</w:t>
      </w:r>
    </w:p>
    <w:p w14:paraId="065EC8C8" w14:textId="4FFCB724" w:rsidR="00F43C89" w:rsidRDefault="00000000">
      <w:pPr>
        <w:pStyle w:val="ListBullet"/>
      </w:pPr>
      <w:r>
        <w:t xml:space="preserve">Bowman, C. (2012). Reconsidering holism in gestalt therapy: A bridge too far? In T. Levine Bar-Yoseph (Ed.), </w:t>
      </w:r>
      <w:r w:rsidRPr="006F5938">
        <w:rPr>
          <w:i/>
          <w:iCs/>
        </w:rPr>
        <w:t>Gestalt Therapy: Advances in Theory and Practice</w:t>
      </w:r>
      <w:r>
        <w:t>. Routledge.</w:t>
      </w:r>
    </w:p>
    <w:p w14:paraId="7D496596" w14:textId="1079D350" w:rsidR="00F43C89" w:rsidRDefault="00000000">
      <w:pPr>
        <w:pStyle w:val="ListBullet"/>
      </w:pPr>
      <w:r>
        <w:t xml:space="preserve">Bowman, C. (2011). Perspective and history. In D. Bloom &amp; P. Brownell (Eds.), </w:t>
      </w:r>
      <w:r w:rsidRPr="006F5938">
        <w:rPr>
          <w:i/>
          <w:iCs/>
        </w:rPr>
        <w:t>Continuity and Change: Gestalt Therapy Now</w:t>
      </w:r>
      <w:r>
        <w:t>. Cambridge Scholars Press.</w:t>
      </w:r>
    </w:p>
    <w:p w14:paraId="03CB2FE5" w14:textId="6B117604" w:rsidR="00F43C89" w:rsidRDefault="00000000">
      <w:pPr>
        <w:pStyle w:val="ListBullet"/>
      </w:pPr>
      <w:r>
        <w:t xml:space="preserve">Bowman, C. (2005). The history and development of gestalt therapy. In A. Woldt &amp; S. Toman (Eds.), </w:t>
      </w:r>
      <w:r w:rsidRPr="006F5938">
        <w:rPr>
          <w:i/>
          <w:iCs/>
        </w:rPr>
        <w:t>Gestalt Therapy: History, Theory, and Practice</w:t>
      </w:r>
      <w:r>
        <w:t>. Sage Publications.</w:t>
      </w:r>
    </w:p>
    <w:p w14:paraId="24F9162C" w14:textId="77777777" w:rsidR="00F43C89" w:rsidRDefault="00000000">
      <w:pPr>
        <w:pStyle w:val="Heading2"/>
      </w:pPr>
      <w:r>
        <w:t>Articles in Journals and Periodicals</w:t>
      </w:r>
    </w:p>
    <w:p w14:paraId="02D44F62" w14:textId="72B458CC" w:rsidR="00F43C89" w:rsidRDefault="00000000">
      <w:pPr>
        <w:pStyle w:val="ListBullet"/>
      </w:pPr>
      <w:r>
        <w:t xml:space="preserve">Aylward, J., Bowman, C., Cole, P., &amp; Feder, B. (2019). Four reflections on a Gestalt peer consultation group. </w:t>
      </w:r>
      <w:r w:rsidRPr="006F5938">
        <w:rPr>
          <w:i/>
          <w:iCs/>
        </w:rPr>
        <w:t>Gestalt Review</w:t>
      </w:r>
      <w:r>
        <w:t>, 23(2), 97–112.</w:t>
      </w:r>
    </w:p>
    <w:p w14:paraId="25F61B53" w14:textId="49C6034D" w:rsidR="00F43C89" w:rsidRDefault="00000000">
      <w:pPr>
        <w:pStyle w:val="ListBullet"/>
      </w:pPr>
      <w:r>
        <w:t xml:space="preserve">Bowman, C., &amp; Paul, R. (2005). EAP’s domestic violence role. </w:t>
      </w:r>
      <w:r w:rsidRPr="006F5938">
        <w:rPr>
          <w:i/>
          <w:iCs/>
        </w:rPr>
        <w:t>Behavioral Health Management, 25</w:t>
      </w:r>
      <w:r>
        <w:t>(4), 38–46.</w:t>
      </w:r>
    </w:p>
    <w:p w14:paraId="6D8305E2" w14:textId="6B5AEFE1" w:rsidR="00F43C89" w:rsidRDefault="00000000">
      <w:pPr>
        <w:pStyle w:val="ListBullet"/>
      </w:pPr>
      <w:r>
        <w:t xml:space="preserve">Bowman, C., &amp; Snir, S. (2004). Reports of the Seventh International AAGT Conference. </w:t>
      </w:r>
      <w:r w:rsidRPr="006F5938">
        <w:rPr>
          <w:i/>
          <w:iCs/>
        </w:rPr>
        <w:t>Gestalt!</w:t>
      </w:r>
      <w:r>
        <w:t xml:space="preserve"> 8(2). http://www.g-gej.org/8-2/aagt7.html</w:t>
      </w:r>
    </w:p>
    <w:p w14:paraId="5685B1ED" w14:textId="257190A7" w:rsidR="00F43C89" w:rsidRDefault="00000000">
      <w:pPr>
        <w:pStyle w:val="ListBullet"/>
      </w:pPr>
      <w:r>
        <w:t xml:space="preserve">Bowman, C., Woldt, A., &amp; Yontef, G. (2001). Epilogue: Contemporary gestalt therapy. </w:t>
      </w:r>
      <w:r w:rsidRPr="006F5938">
        <w:rPr>
          <w:i/>
          <w:iCs/>
        </w:rPr>
        <w:t>Gestalt!</w:t>
      </w:r>
      <w:r>
        <w:t xml:space="preserve"> 5(2). http://www.g-gej.org/8-2/2000contemporary.html</w:t>
      </w:r>
    </w:p>
    <w:p w14:paraId="6207B07B" w14:textId="3F641909" w:rsidR="00F43C89" w:rsidRDefault="00000000">
      <w:pPr>
        <w:pStyle w:val="ListBullet"/>
      </w:pPr>
      <w:r>
        <w:t xml:space="preserve">Bowman, C. (2024). Erving Polster in the (International) Association for the Advancement of Gestalt Therapy. </w:t>
      </w:r>
      <w:r w:rsidRPr="006F5938">
        <w:rPr>
          <w:i/>
          <w:iCs/>
        </w:rPr>
        <w:t>Gestalt Review</w:t>
      </w:r>
      <w:r>
        <w:t>, 28(2), 191–192. https://doi.org/10.5325/gestaltreview.28.2.0191</w:t>
      </w:r>
    </w:p>
    <w:p w14:paraId="5C0A414A" w14:textId="5D7F0FDA" w:rsidR="00F43C89" w:rsidRDefault="00000000">
      <w:pPr>
        <w:pStyle w:val="ListBullet"/>
      </w:pPr>
      <w:r>
        <w:t xml:space="preserve">Bowman, C. (2010). On writing and writer’s conferences. </w:t>
      </w:r>
      <w:r w:rsidRPr="006F5938">
        <w:rPr>
          <w:i/>
          <w:iCs/>
        </w:rPr>
        <w:t>Gestalt Review</w:t>
      </w:r>
      <w:r>
        <w:t>, 14(1), 92–94.</w:t>
      </w:r>
    </w:p>
    <w:p w14:paraId="10778F39" w14:textId="6D53658F" w:rsidR="00F43C89" w:rsidRDefault="00000000">
      <w:pPr>
        <w:pStyle w:val="ListBullet"/>
      </w:pPr>
      <w:r>
        <w:t>Bowman, C. (2008). Psychosomatic medicine: Book review. *</w:t>
      </w:r>
      <w:r w:rsidRPr="006F5938">
        <w:rPr>
          <w:i/>
          <w:iCs/>
        </w:rPr>
        <w:t>Studies in Gestalt Therapy: Dialogical Bridges</w:t>
      </w:r>
      <w:r w:rsidR="006F5938">
        <w:t xml:space="preserve"> </w:t>
      </w:r>
      <w:r>
        <w:t>(2), 91–95.</w:t>
      </w:r>
    </w:p>
    <w:p w14:paraId="55BE414B" w14:textId="4F144B05" w:rsidR="00F43C89" w:rsidRDefault="00000000">
      <w:pPr>
        <w:pStyle w:val="ListBullet"/>
      </w:pPr>
      <w:r>
        <w:t xml:space="preserve">Bowman, C. (2000). Relational gestalt therapy. </w:t>
      </w:r>
      <w:r w:rsidRPr="006F5938">
        <w:rPr>
          <w:i/>
          <w:iCs/>
        </w:rPr>
        <w:t>Gestalt!</w:t>
      </w:r>
      <w:r w:rsidR="006F5938">
        <w:rPr>
          <w:i/>
          <w:iCs/>
        </w:rPr>
        <w:t xml:space="preserve"> </w:t>
      </w:r>
      <w:r>
        <w:t>4(2). http://www.g-gej.org/4-2/editorial.html</w:t>
      </w:r>
    </w:p>
    <w:p w14:paraId="7EDBADF0" w14:textId="7E64B0CF" w:rsidR="00F43C89" w:rsidRDefault="00000000">
      <w:pPr>
        <w:pStyle w:val="ListBullet"/>
      </w:pPr>
      <w:r>
        <w:t xml:space="preserve">Bowman, C. (2000). Commentary on Leanne O’Shea’s sexuality. </w:t>
      </w:r>
      <w:r w:rsidRPr="006F5938">
        <w:rPr>
          <w:i/>
          <w:iCs/>
        </w:rPr>
        <w:t>Gestalt Review</w:t>
      </w:r>
      <w:r>
        <w:t>, 4(1), 29–31.</w:t>
      </w:r>
    </w:p>
    <w:p w14:paraId="4CACCC45" w14:textId="5B7B3EB2" w:rsidR="00F43C89" w:rsidRDefault="00000000">
      <w:pPr>
        <w:pStyle w:val="ListBullet"/>
      </w:pPr>
      <w:r>
        <w:t xml:space="preserve">Bowman, C. (1998). Definitions of gestalt therapy: Finding common ground. </w:t>
      </w:r>
      <w:r w:rsidRPr="006F5938">
        <w:rPr>
          <w:i/>
          <w:iCs/>
        </w:rPr>
        <w:t>Gestalt Review</w:t>
      </w:r>
      <w:r>
        <w:t>, 2(2), 97–107.</w:t>
      </w:r>
    </w:p>
    <w:p w14:paraId="1C25451E" w14:textId="6B030A59" w:rsidR="00F43C89" w:rsidRDefault="00000000">
      <w:pPr>
        <w:pStyle w:val="ListBullet"/>
      </w:pPr>
      <w:r>
        <w:t xml:space="preserve">Bowman, C., &amp; Kossler, M. (1994). The awakened professional. </w:t>
      </w:r>
      <w:r w:rsidRPr="006F5938">
        <w:rPr>
          <w:i/>
          <w:iCs/>
        </w:rPr>
        <w:t>National OD Network Monograph</w:t>
      </w:r>
      <w:r>
        <w:t>, 37–42.</w:t>
      </w:r>
    </w:p>
    <w:p w14:paraId="5CD93F67" w14:textId="15A8D80A" w:rsidR="00F43C89" w:rsidRDefault="00000000">
      <w:pPr>
        <w:pStyle w:val="ListBullet"/>
      </w:pPr>
      <w:r>
        <w:t xml:space="preserve">Brownell, P., Cook, C., Toman, S., Wolfert, R., Gregory, S., Bowman, C., et al. (2000). Experiments in community building. </w:t>
      </w:r>
      <w:r w:rsidRPr="006F5938">
        <w:rPr>
          <w:i/>
          <w:iCs/>
        </w:rPr>
        <w:t>Gestalt Review</w:t>
      </w:r>
      <w:r>
        <w:t>, 4(2).</w:t>
      </w:r>
    </w:p>
    <w:p w14:paraId="15623267" w14:textId="5E8703CE" w:rsidR="00F43C89" w:rsidRDefault="00000000">
      <w:pPr>
        <w:pStyle w:val="ListBullet"/>
      </w:pPr>
      <w:r>
        <w:t xml:space="preserve">Nevis, E., Melnick, J., Bowman, C., &amp; Gaffney, S. (2010). Reflections: On writing and writers' conferences. </w:t>
      </w:r>
      <w:r w:rsidRPr="006F5938">
        <w:rPr>
          <w:i/>
          <w:iCs/>
        </w:rPr>
        <w:t>Gestalt Review</w:t>
      </w:r>
      <w:r>
        <w:t>, 14(1), 89–98.</w:t>
      </w:r>
    </w:p>
    <w:p w14:paraId="7334670A" w14:textId="77777777" w:rsidR="00F43C89" w:rsidRDefault="00000000">
      <w:pPr>
        <w:pStyle w:val="Heading1"/>
      </w:pPr>
      <w:r>
        <w:t>Teaching Experience</w:t>
      </w:r>
    </w:p>
    <w:p w14:paraId="3C61F1BB" w14:textId="77777777" w:rsidR="00F43C89" w:rsidRDefault="00000000">
      <w:pPr>
        <w:pStyle w:val="ListBullet"/>
      </w:pPr>
      <w:r>
        <w:t>Senior Faculty &amp; President, Indianapolis Gestalt Institute, Indianapolis, IN</w:t>
      </w:r>
    </w:p>
    <w:p w14:paraId="14835998" w14:textId="77777777" w:rsidR="00F43C89" w:rsidRDefault="00000000">
      <w:pPr>
        <w:pStyle w:val="ListBullet"/>
      </w:pPr>
      <w:r>
        <w:t>Visiting Faculty, Gestalt Associates Training Los Angeles, Los Angeles, CA</w:t>
      </w:r>
    </w:p>
    <w:p w14:paraId="0E10DAB6" w14:textId="77777777" w:rsidR="00F43C89" w:rsidRDefault="00000000">
      <w:pPr>
        <w:pStyle w:val="ListBullet"/>
      </w:pPr>
      <w:r>
        <w:lastRenderedPageBreak/>
        <w:t>Core Faculty, Gestalt Training Institute of Bermuda (2007)</w:t>
      </w:r>
    </w:p>
    <w:p w14:paraId="37A33E53" w14:textId="77777777" w:rsidR="00F43C89" w:rsidRDefault="00000000">
      <w:pPr>
        <w:pStyle w:val="ListBullet"/>
      </w:pPr>
      <w:r>
        <w:t>Guest Instructor, Illawara Gestalt Centre, Wollongong, NSW, Australia (1999)</w:t>
      </w:r>
    </w:p>
    <w:p w14:paraId="0C9AD790" w14:textId="77777777" w:rsidR="00F43C89" w:rsidRDefault="00000000">
      <w:pPr>
        <w:pStyle w:val="ListBullet"/>
      </w:pPr>
      <w:r>
        <w:t>Teaching Assistant, Indiana University Psychology Department (1986–1987)</w:t>
      </w:r>
    </w:p>
    <w:p w14:paraId="2B4C67E3" w14:textId="77777777" w:rsidR="00F43C89" w:rsidRDefault="00000000">
      <w:pPr>
        <w:pStyle w:val="ListBullet"/>
      </w:pPr>
      <w:r>
        <w:t>Presentations: List available upon request</w:t>
      </w:r>
    </w:p>
    <w:p w14:paraId="2D3A2843" w14:textId="77777777" w:rsidR="00F43C89" w:rsidRDefault="00000000">
      <w:pPr>
        <w:pStyle w:val="Heading1"/>
      </w:pPr>
      <w:r>
        <w:t>Clinical, Consulting, and Human Resources Experience</w:t>
      </w:r>
    </w:p>
    <w:p w14:paraId="2B27600B" w14:textId="77777777" w:rsidR="00F43C89" w:rsidRDefault="00000000">
      <w:pPr>
        <w:pStyle w:val="ListBullet"/>
      </w:pPr>
      <w:r>
        <w:t>Gestalt Trainer &amp; Practitioner, Indianapolis Gestalt Institute (2004–Present): Individual, conjoint, family, and group psychotherapy; corporate and educational consulting.</w:t>
      </w:r>
    </w:p>
    <w:p w14:paraId="209C4756" w14:textId="77777777" w:rsidR="00F43C89" w:rsidRDefault="00000000">
      <w:pPr>
        <w:pStyle w:val="ListBullet"/>
      </w:pPr>
      <w:r>
        <w:t>Acting Director, Verizon Communications EAP &amp; WorkLife Services (2003–2010): Directed EAP, flexible work policies, fitness centers, and care programs. Managed 11 direct reports; $7M vendor contracts.</w:t>
      </w:r>
    </w:p>
    <w:p w14:paraId="266970B5" w14:textId="77777777" w:rsidR="00F43C89" w:rsidRDefault="00000000">
      <w:pPr>
        <w:pStyle w:val="ListBullet"/>
      </w:pPr>
      <w:r>
        <w:t>Program Manager, Verizon/GTE EAP (1997–2003): Oversaw national/international EAP services; 7 direct reports across multiple offices.</w:t>
      </w:r>
    </w:p>
    <w:p w14:paraId="361587A7" w14:textId="77777777" w:rsidR="00F43C89" w:rsidRDefault="00000000">
      <w:pPr>
        <w:pStyle w:val="ListBullet"/>
      </w:pPr>
      <w:r>
        <w:t>EAP Program Manager, GTE Telephone Operations (1991–1997): Supervised 68 EAP staff; delivered services to 150,000 employees.</w:t>
      </w:r>
    </w:p>
    <w:p w14:paraId="7301D879" w14:textId="77777777" w:rsidR="00F43C89" w:rsidRDefault="00000000">
      <w:pPr>
        <w:pStyle w:val="ListBullet"/>
      </w:pPr>
      <w:r>
        <w:t>EAP Counselor, GTE Telephone Operations (1989–1991): Provided clinical services to 150,000 employees.</w:t>
      </w:r>
    </w:p>
    <w:p w14:paraId="28DA8CC0" w14:textId="77777777" w:rsidR="00F43C89" w:rsidRDefault="00000000">
      <w:pPr>
        <w:pStyle w:val="ListBullet"/>
      </w:pPr>
      <w:r>
        <w:t>Addictions Counselor, Koala Centers, IN (1987–1991): Delivered addiction counseling; developed dual diagnosis and impaired professionals programs.</w:t>
      </w:r>
    </w:p>
    <w:p w14:paraId="63565FB7" w14:textId="77777777" w:rsidR="00F43C89" w:rsidRDefault="00000000">
      <w:pPr>
        <w:pStyle w:val="Heading1"/>
      </w:pPr>
      <w:r>
        <w:t>Leadership and Service Roles</w:t>
      </w:r>
    </w:p>
    <w:p w14:paraId="03A2D1A4" w14:textId="77777777" w:rsidR="00F43C89" w:rsidRDefault="00000000">
      <w:pPr>
        <w:pStyle w:val="ListBullet"/>
      </w:pPr>
      <w:r>
        <w:t>President, Indianapolis Gestalt Institute (1987–Present)</w:t>
      </w:r>
    </w:p>
    <w:p w14:paraId="1851321C" w14:textId="77777777" w:rsidR="00F43C89" w:rsidRDefault="00000000">
      <w:pPr>
        <w:pStyle w:val="ListBullet"/>
      </w:pPr>
      <w:r>
        <w:t>Chair, Communications Committee, AAGT (2006–2008)</w:t>
      </w:r>
    </w:p>
    <w:p w14:paraId="7DFC121E" w14:textId="77777777" w:rsidR="00F43C89" w:rsidRDefault="00000000">
      <w:pPr>
        <w:pStyle w:val="ListBullet"/>
      </w:pPr>
      <w:r>
        <w:t>Director of Communications, AAGT (2008–2014)</w:t>
      </w:r>
    </w:p>
    <w:p w14:paraId="4A5000B5" w14:textId="164E74E0" w:rsidR="00F43C89" w:rsidRDefault="00000000">
      <w:pPr>
        <w:pStyle w:val="ListBullet"/>
      </w:pPr>
      <w:r>
        <w:t xml:space="preserve">Co-Chair, </w:t>
      </w:r>
      <w:r w:rsidR="006F5938">
        <w:t xml:space="preserve">AAGT </w:t>
      </w:r>
      <w:r>
        <w:t>Process Group Leader Training, 5</w:t>
      </w:r>
      <w:r w:rsidRPr="006F5938">
        <w:rPr>
          <w:vertAlign w:val="superscript"/>
        </w:rPr>
        <w:t>th</w:t>
      </w:r>
      <w:r w:rsidR="006F5938">
        <w:t xml:space="preserve"> </w:t>
      </w:r>
      <w:r>
        <w:t>Conference (1998–2000)</w:t>
      </w:r>
    </w:p>
    <w:p w14:paraId="7A380AAC" w14:textId="77777777" w:rsidR="00F43C89" w:rsidRDefault="00000000">
      <w:pPr>
        <w:pStyle w:val="ListBullet"/>
      </w:pPr>
      <w:r>
        <w:t>Moderator, NYIGT Discussion Group (2009–Present)</w:t>
      </w:r>
    </w:p>
    <w:p w14:paraId="52FE7067" w14:textId="77777777" w:rsidR="00F43C89" w:rsidRDefault="00000000">
      <w:pPr>
        <w:pStyle w:val="ListBullet"/>
      </w:pPr>
      <w:r>
        <w:t>Moderator, AAGT.org Leadership Forum (2008–2013)</w:t>
      </w:r>
    </w:p>
    <w:p w14:paraId="062B0C4B" w14:textId="77777777" w:rsidR="00F43C89" w:rsidRDefault="00000000">
      <w:pPr>
        <w:pStyle w:val="ListBullet"/>
      </w:pPr>
      <w:r>
        <w:t>Moderator, AAGTMembers Listserv (2008–2013)</w:t>
      </w:r>
    </w:p>
    <w:p w14:paraId="3C8349CD" w14:textId="6AB8F9BD" w:rsidR="00F43C89" w:rsidRDefault="00000000">
      <w:pPr>
        <w:pStyle w:val="ListBullet"/>
      </w:pPr>
      <w:r>
        <w:t xml:space="preserve">President and Board Member, AAGT (1995–2010): Roles included </w:t>
      </w:r>
      <w:r w:rsidR="006F5938">
        <w:t xml:space="preserve">President, </w:t>
      </w:r>
      <w:r>
        <w:t>Vice President, Treasurer, Communications Director, and At-Large Member</w:t>
      </w:r>
    </w:p>
    <w:p w14:paraId="13B30BED" w14:textId="11F64E0E" w:rsidR="00F43C89" w:rsidRDefault="00000000" w:rsidP="007B500D">
      <w:pPr>
        <w:pStyle w:val="Heading1"/>
        <w:tabs>
          <w:tab w:val="center" w:pos="4320"/>
        </w:tabs>
      </w:pPr>
      <w:r>
        <w:t>Professional Memberships</w:t>
      </w:r>
      <w:r w:rsidR="007B500D">
        <w:tab/>
      </w:r>
    </w:p>
    <w:p w14:paraId="0DB618DA" w14:textId="1028344B" w:rsidR="006F5938" w:rsidRDefault="006F5938" w:rsidP="006F5938">
      <w:pPr>
        <w:pStyle w:val="Heading2"/>
      </w:pPr>
      <w:r>
        <w:t>Current</w:t>
      </w:r>
    </w:p>
    <w:p w14:paraId="00890B4F" w14:textId="311D265B" w:rsidR="00F43C89" w:rsidRDefault="006F5938">
      <w:pPr>
        <w:pStyle w:val="ListBullet"/>
      </w:pPr>
      <w:r>
        <w:t>International Association for the Advancement of Gestalt Therapy (AAGT)</w:t>
      </w:r>
    </w:p>
    <w:p w14:paraId="50A0114E" w14:textId="289B21F8" w:rsidR="006F5938" w:rsidRDefault="006F5938">
      <w:pPr>
        <w:pStyle w:val="ListBullet"/>
      </w:pPr>
      <w:r>
        <w:t>National Association of Gestalt Practitioners (NAGP)</w:t>
      </w:r>
    </w:p>
    <w:p w14:paraId="24839158" w14:textId="77777777" w:rsidR="00F43C89" w:rsidRDefault="00000000">
      <w:pPr>
        <w:pStyle w:val="ListBullet"/>
      </w:pPr>
      <w:r>
        <w:t>Indianapolis Gestalt Institute (IGI)</w:t>
      </w:r>
    </w:p>
    <w:p w14:paraId="3494BF9D" w14:textId="6CE1D05D" w:rsidR="006F5938" w:rsidRDefault="00000000" w:rsidP="006F5938">
      <w:pPr>
        <w:pStyle w:val="ListBullet"/>
      </w:pPr>
      <w:r>
        <w:t>New York Institute for Gestalt Therapy (NYIGT)</w:t>
      </w:r>
    </w:p>
    <w:p w14:paraId="5FB509A5" w14:textId="1D4AB8FD" w:rsidR="006F5938" w:rsidRDefault="006F5938" w:rsidP="006F5938">
      <w:pPr>
        <w:pStyle w:val="Heading2"/>
      </w:pPr>
      <w:r>
        <w:lastRenderedPageBreak/>
        <w:t>Past</w:t>
      </w:r>
    </w:p>
    <w:p w14:paraId="41BE08CF" w14:textId="77777777" w:rsidR="00F43C89" w:rsidRDefault="00000000">
      <w:pPr>
        <w:pStyle w:val="ListBullet"/>
      </w:pPr>
      <w:r>
        <w:t>American Association of Marriage and Family Therapists (AAMFT)</w:t>
      </w:r>
    </w:p>
    <w:p w14:paraId="3264C88A" w14:textId="77777777" w:rsidR="00F43C89" w:rsidRDefault="00000000">
      <w:pPr>
        <w:pStyle w:val="ListBullet"/>
      </w:pPr>
      <w:r>
        <w:t>Employee Assistance Professionals Association (EAPA)</w:t>
      </w:r>
    </w:p>
    <w:p w14:paraId="5F6E19B7" w14:textId="77777777" w:rsidR="00F43C89" w:rsidRDefault="00000000">
      <w:pPr>
        <w:pStyle w:val="ListBullet"/>
      </w:pPr>
      <w:r>
        <w:t>Indiana Counselors Association for Alcohol and Drug Addiction (ICAADA)</w:t>
      </w:r>
    </w:p>
    <w:p w14:paraId="1DDD7B8B" w14:textId="77777777" w:rsidR="00F43C89" w:rsidRDefault="00000000">
      <w:pPr>
        <w:pStyle w:val="ListBullet"/>
      </w:pPr>
      <w:r>
        <w:t>National Association of Drug and Alcohol Abuse Counselors (NAADAC)</w:t>
      </w:r>
    </w:p>
    <w:p w14:paraId="54D932DA" w14:textId="77777777" w:rsidR="00F43C89" w:rsidRDefault="00000000">
      <w:pPr>
        <w:pStyle w:val="ListBullet"/>
      </w:pPr>
      <w:r>
        <w:t>Purdue University School of Science, Curriculum Advisory Board</w:t>
      </w:r>
    </w:p>
    <w:p w14:paraId="2B80A73E" w14:textId="77777777" w:rsidR="00F43C89" w:rsidRDefault="00000000">
      <w:pPr>
        <w:pStyle w:val="ListBullet"/>
      </w:pPr>
      <w:r>
        <w:t>Purdue Alumni Association</w:t>
      </w:r>
    </w:p>
    <w:sectPr w:rsidR="00F43C8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5321660">
    <w:abstractNumId w:val="8"/>
  </w:num>
  <w:num w:numId="2" w16cid:durableId="1454665266">
    <w:abstractNumId w:val="6"/>
  </w:num>
  <w:num w:numId="3" w16cid:durableId="498811532">
    <w:abstractNumId w:val="5"/>
  </w:num>
  <w:num w:numId="4" w16cid:durableId="766577399">
    <w:abstractNumId w:val="4"/>
  </w:num>
  <w:num w:numId="5" w16cid:durableId="742996418">
    <w:abstractNumId w:val="7"/>
  </w:num>
  <w:num w:numId="6" w16cid:durableId="539779383">
    <w:abstractNumId w:val="3"/>
  </w:num>
  <w:num w:numId="7" w16cid:durableId="215821039">
    <w:abstractNumId w:val="2"/>
  </w:num>
  <w:num w:numId="8" w16cid:durableId="1013148888">
    <w:abstractNumId w:val="1"/>
  </w:num>
  <w:num w:numId="9" w16cid:durableId="907770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A3329"/>
    <w:rsid w:val="00326F90"/>
    <w:rsid w:val="006631A6"/>
    <w:rsid w:val="006F5938"/>
    <w:rsid w:val="007B500D"/>
    <w:rsid w:val="00AA1D8D"/>
    <w:rsid w:val="00B47730"/>
    <w:rsid w:val="00CB0664"/>
    <w:rsid w:val="00F43C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186135"/>
  <w14:defaultImageDpi w14:val="300"/>
  <w15:docId w15:val="{905DBE06-6CD1-9441-90B4-0425172C2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Charles Bowman</cp:lastModifiedBy>
  <cp:revision>3</cp:revision>
  <dcterms:created xsi:type="dcterms:W3CDTF">2013-12-23T23:15:00Z</dcterms:created>
  <dcterms:modified xsi:type="dcterms:W3CDTF">2025-09-09T09:06:00Z</dcterms:modified>
  <cp:category/>
</cp:coreProperties>
</file>